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B76C4E">
          <w:pPr>
            <w:pStyle w:val="a8"/>
            <w:rPr>
              <w:rFonts w:ascii="Bookman Old Style" w:eastAsiaTheme="majorEastAsia" w:hAnsi="Bookman Old Style" w:cstheme="majorBidi"/>
              <w:sz w:val="72"/>
              <w:szCs w:val="72"/>
            </w:rPr>
          </w:pPr>
          <w:r w:rsidRPr="00B76C4E">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B76C4E">
            <w:rPr>
              <w:rFonts w:eastAsiaTheme="majorEastAsia" w:cstheme="majorBidi"/>
              <w:noProof/>
              <w:lang w:eastAsia="el-GR"/>
            </w:rPr>
            <w:pict>
              <v:rect id="Rectangle 5" o:spid="_x0000_s1050"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B76C4E">
            <w:rPr>
              <w:rFonts w:eastAsiaTheme="majorEastAsia" w:cstheme="majorBidi"/>
              <w:noProof/>
              <w:lang w:eastAsia="el-GR"/>
            </w:rPr>
            <w:pict>
              <v:rect id="Rectangle 4" o:spid="_x0000_s1049"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B76C4E">
            <w:rPr>
              <w:rFonts w:eastAsiaTheme="majorEastAsia" w:cstheme="majorBidi"/>
              <w:noProof/>
              <w:lang w:eastAsia="el-GR"/>
            </w:rPr>
            <w:pict>
              <v:rect id="Rectangle 3" o:spid="_x0000_s1048"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7F6B32" w:rsidRDefault="00E34927">
          <w:pPr>
            <w:pStyle w:val="a8"/>
            <w:rPr>
              <w:rFonts w:ascii="Bookman Old Style" w:eastAsiaTheme="majorEastAsia" w:hAnsi="Bookman Old Style" w:cstheme="majorBidi"/>
              <w:sz w:val="56"/>
              <w:szCs w:val="72"/>
              <w:lang w:val="en-US"/>
            </w:rPr>
          </w:pPr>
          <w:r>
            <w:rPr>
              <w:rFonts w:ascii="Bookman Old Style" w:eastAsiaTheme="majorEastAsia" w:hAnsi="Bookman Old Style" w:cstheme="majorBidi"/>
              <w:sz w:val="56"/>
              <w:szCs w:val="72"/>
              <w:lang w:val="en-US"/>
            </w:rPr>
            <w:t xml:space="preserve">Module </w:t>
          </w:r>
          <w:r w:rsidR="003C3A38" w:rsidRPr="003C3A38">
            <w:rPr>
              <w:rFonts w:ascii="Bookman Old Style" w:eastAsiaTheme="majorEastAsia" w:hAnsi="Bookman Old Style" w:cstheme="majorBidi"/>
              <w:sz w:val="56"/>
              <w:szCs w:val="72"/>
              <w:lang w:val="en-US"/>
            </w:rPr>
            <w:t>7</w:t>
          </w:r>
          <w:r w:rsidRPr="003C3A38">
            <w:rPr>
              <w:rFonts w:ascii="Bookman Old Style" w:eastAsiaTheme="majorEastAsia" w:hAnsi="Bookman Old Style" w:cstheme="majorBidi"/>
              <w:sz w:val="56"/>
              <w:szCs w:val="72"/>
              <w:lang w:val="en-US"/>
            </w:rPr>
            <w:t xml:space="preserve"> – </w:t>
          </w:r>
          <w:r w:rsidR="003C3A38" w:rsidRPr="003C3A38">
            <w:rPr>
              <w:rFonts w:ascii="Bookman Old Style" w:eastAsiaTheme="majorEastAsia" w:hAnsi="Bookman Old Style" w:cstheme="majorBidi"/>
              <w:sz w:val="56"/>
              <w:szCs w:val="72"/>
              <w:lang w:val="en-US"/>
            </w:rPr>
            <w:t>Development of New Product in the Agr</w:t>
          </w:r>
          <w:r w:rsidR="007940ED">
            <w:rPr>
              <w:rFonts w:ascii="Bookman Old Style" w:eastAsiaTheme="majorEastAsia" w:hAnsi="Bookman Old Style" w:cstheme="majorBidi"/>
              <w:sz w:val="56"/>
              <w:szCs w:val="72"/>
              <w:lang w:val="en-US"/>
            </w:rPr>
            <w:t>o</w:t>
          </w:r>
          <w:r w:rsidR="003C3A38" w:rsidRPr="003C3A38">
            <w:rPr>
              <w:rFonts w:ascii="Bookman Old Style" w:eastAsiaTheme="majorEastAsia" w:hAnsi="Bookman Old Style" w:cstheme="majorBidi"/>
              <w:sz w:val="56"/>
              <w:szCs w:val="72"/>
              <w:lang w:val="en-US"/>
            </w:rPr>
            <w:t>-Food Sector</w:t>
          </w:r>
        </w:p>
        <w:p w:rsidR="007F6B32" w:rsidRPr="00E34927" w:rsidRDefault="00B9345E">
          <w:pPr>
            <w:pStyle w:val="a8"/>
            <w:rPr>
              <w:rFonts w:ascii="Bookman Old Style" w:eastAsiaTheme="majorEastAsia" w:hAnsi="Bookman Old Style" w:cstheme="majorBidi"/>
              <w:sz w:val="36"/>
              <w:szCs w:val="36"/>
              <w:lang w:val="en-US"/>
            </w:rPr>
          </w:pPr>
          <w:r w:rsidRPr="00B9345E">
            <w:rPr>
              <w:rFonts w:ascii="Bookman Old Style" w:eastAsiaTheme="majorEastAsia" w:hAnsi="Bookman Old Style" w:cstheme="majorBidi"/>
              <w:sz w:val="56"/>
              <w:szCs w:val="72"/>
              <w:lang w:val="en-US"/>
            </w:rPr>
            <w:t>Answers to Self Assessment questions</w:t>
          </w: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C04ECA" w:rsidRDefault="00C04ECA" w:rsidP="00804969"/>
    <w:p w:rsidR="00E34927" w:rsidRDefault="00E34927" w:rsidP="00B9345E">
      <w:pPr>
        <w:pStyle w:val="1"/>
        <w:jc w:val="both"/>
      </w:pPr>
      <w:r>
        <w:t>Answers to Self Assessment questions</w:t>
      </w:r>
    </w:p>
    <w:p w:rsidR="00E34927" w:rsidRDefault="00E34927" w:rsidP="00B9345E">
      <w:pPr>
        <w:jc w:val="both"/>
      </w:pPr>
    </w:p>
    <w:p w:rsidR="00C57743" w:rsidRPr="00C6348D" w:rsidRDefault="00C57743" w:rsidP="00B9345E">
      <w:pPr>
        <w:jc w:val="both"/>
      </w:pPr>
      <w:r>
        <w:t>1)</w:t>
      </w:r>
      <w:r w:rsidRPr="00C6348D">
        <w:rPr>
          <w:rFonts w:eastAsiaTheme="minorEastAsia"/>
          <w:color w:val="000000" w:themeColor="text1"/>
          <w:kern w:val="24"/>
          <w:sz w:val="36"/>
          <w:szCs w:val="36"/>
        </w:rPr>
        <w:t xml:space="preserve"> </w:t>
      </w:r>
      <w:r w:rsidRPr="00C6348D">
        <w:t xml:space="preserve">There are essentially four basic stages for every product development process.  These are: </w:t>
      </w:r>
    </w:p>
    <w:p w:rsidR="00C57743" w:rsidRPr="00C6348D" w:rsidRDefault="00C57743" w:rsidP="00B9345E">
      <w:pPr>
        <w:pStyle w:val="a5"/>
        <w:numPr>
          <w:ilvl w:val="0"/>
          <w:numId w:val="15"/>
        </w:numPr>
        <w:jc w:val="both"/>
      </w:pPr>
      <w:r w:rsidRPr="00C6348D">
        <w:t>product strategy development;</w:t>
      </w:r>
    </w:p>
    <w:p w:rsidR="00C57743" w:rsidRPr="00C6348D" w:rsidRDefault="00C57743" w:rsidP="00B9345E">
      <w:pPr>
        <w:pStyle w:val="a5"/>
        <w:numPr>
          <w:ilvl w:val="0"/>
          <w:numId w:val="15"/>
        </w:numPr>
        <w:jc w:val="both"/>
      </w:pPr>
      <w:r w:rsidRPr="00C6348D">
        <w:t xml:space="preserve">product design and development; </w:t>
      </w:r>
    </w:p>
    <w:p w:rsidR="00C57743" w:rsidRPr="00C6348D" w:rsidRDefault="00C57743" w:rsidP="00B9345E">
      <w:pPr>
        <w:pStyle w:val="a5"/>
        <w:numPr>
          <w:ilvl w:val="0"/>
          <w:numId w:val="15"/>
        </w:numPr>
        <w:jc w:val="both"/>
      </w:pPr>
      <w:r w:rsidRPr="00C6348D">
        <w:t xml:space="preserve">product commercialization; </w:t>
      </w:r>
    </w:p>
    <w:p w:rsidR="00C57743" w:rsidRDefault="00C57743" w:rsidP="00B9345E">
      <w:pPr>
        <w:pStyle w:val="a5"/>
        <w:numPr>
          <w:ilvl w:val="0"/>
          <w:numId w:val="15"/>
        </w:numPr>
        <w:jc w:val="both"/>
      </w:pPr>
      <w:r w:rsidRPr="00C6348D">
        <w:t>product launch and post-launch.</w:t>
      </w:r>
    </w:p>
    <w:p w:rsidR="00C57743" w:rsidRDefault="00C57743" w:rsidP="00B9345E">
      <w:pPr>
        <w:jc w:val="both"/>
      </w:pPr>
    </w:p>
    <w:p w:rsidR="00C57743" w:rsidRDefault="00C57743" w:rsidP="00B9345E">
      <w:pPr>
        <w:jc w:val="both"/>
      </w:pPr>
      <w:r>
        <w:t>2)</w:t>
      </w:r>
      <w:r w:rsidRPr="001C063C">
        <w:t xml:space="preserve"> </w:t>
      </w:r>
      <w:r>
        <w:t>There are many ways to classify the degree of newness of a product, such as the following categories:</w:t>
      </w:r>
    </w:p>
    <w:p w:rsidR="00C57743" w:rsidRDefault="00C57743" w:rsidP="00B9345E">
      <w:pPr>
        <w:pStyle w:val="a5"/>
        <w:numPr>
          <w:ilvl w:val="0"/>
          <w:numId w:val="14"/>
        </w:numPr>
        <w:jc w:val="both"/>
      </w:pPr>
      <w:r>
        <w:t xml:space="preserve">creative products; </w:t>
      </w:r>
    </w:p>
    <w:p w:rsidR="00C57743" w:rsidRDefault="00C57743" w:rsidP="00B9345E">
      <w:pPr>
        <w:pStyle w:val="a5"/>
        <w:numPr>
          <w:ilvl w:val="0"/>
          <w:numId w:val="14"/>
        </w:numPr>
        <w:jc w:val="both"/>
      </w:pPr>
      <w:r>
        <w:t xml:space="preserve">innovative products; </w:t>
      </w:r>
    </w:p>
    <w:p w:rsidR="00C57743" w:rsidRDefault="00C57743" w:rsidP="00B9345E">
      <w:pPr>
        <w:pStyle w:val="a5"/>
        <w:numPr>
          <w:ilvl w:val="0"/>
          <w:numId w:val="14"/>
        </w:numPr>
        <w:jc w:val="both"/>
      </w:pPr>
      <w:r>
        <w:t xml:space="preserve">new packaging of existing products; </w:t>
      </w:r>
    </w:p>
    <w:p w:rsidR="00C57743" w:rsidRDefault="00C57743" w:rsidP="00B9345E">
      <w:pPr>
        <w:pStyle w:val="a5"/>
        <w:numPr>
          <w:ilvl w:val="0"/>
          <w:numId w:val="14"/>
        </w:numPr>
        <w:jc w:val="both"/>
      </w:pPr>
      <w:r>
        <w:t xml:space="preserve">reformulation of existing products; </w:t>
      </w:r>
    </w:p>
    <w:p w:rsidR="00C57743" w:rsidRDefault="00C57743" w:rsidP="00B9345E">
      <w:pPr>
        <w:pStyle w:val="a5"/>
        <w:numPr>
          <w:ilvl w:val="0"/>
          <w:numId w:val="14"/>
        </w:numPr>
        <w:jc w:val="both"/>
      </w:pPr>
      <w:r>
        <w:t xml:space="preserve">new forms of existing products; </w:t>
      </w:r>
    </w:p>
    <w:p w:rsidR="00C57743" w:rsidRDefault="00C57743" w:rsidP="00B9345E">
      <w:pPr>
        <w:pStyle w:val="a5"/>
        <w:numPr>
          <w:ilvl w:val="0"/>
          <w:numId w:val="14"/>
        </w:numPr>
        <w:jc w:val="both"/>
      </w:pPr>
      <w:r>
        <w:t xml:space="preserve">repositioned existing products; </w:t>
      </w:r>
    </w:p>
    <w:p w:rsidR="00C57743" w:rsidRDefault="00C57743" w:rsidP="00B9345E">
      <w:pPr>
        <w:pStyle w:val="a5"/>
        <w:numPr>
          <w:ilvl w:val="0"/>
          <w:numId w:val="14"/>
        </w:numPr>
        <w:jc w:val="both"/>
      </w:pPr>
      <w:r>
        <w:t xml:space="preserve">line extensions. </w:t>
      </w:r>
    </w:p>
    <w:p w:rsidR="00C57743" w:rsidRDefault="00C57743" w:rsidP="00B9345E">
      <w:pPr>
        <w:jc w:val="both"/>
      </w:pPr>
    </w:p>
    <w:p w:rsidR="00C57743" w:rsidRDefault="00C57743" w:rsidP="00B9345E">
      <w:pPr>
        <w:jc w:val="both"/>
      </w:pPr>
      <w:r>
        <w:t>3)</w:t>
      </w:r>
      <w:r w:rsidRPr="006D1E09">
        <w:t xml:space="preserve"> </w:t>
      </w:r>
      <w:r>
        <w:t>A</w:t>
      </w:r>
      <w:r w:rsidRPr="006D1E09">
        <w:t>gricultural production is characterized by long production cycles and batch production processes, which mean that in general the time delays between a new idea and a commercially viable product, are much longer than in industries characterized by continuous flow processing and short production cycles.</w:t>
      </w:r>
    </w:p>
    <w:p w:rsidR="00C57743" w:rsidRDefault="00C57743" w:rsidP="00B9345E">
      <w:pPr>
        <w:jc w:val="both"/>
      </w:pPr>
    </w:p>
    <w:p w:rsidR="00C57743" w:rsidRDefault="00C57743" w:rsidP="00B9345E">
      <w:pPr>
        <w:jc w:val="both"/>
      </w:pPr>
      <w:r>
        <w:t>4)</w:t>
      </w:r>
      <w:r w:rsidRPr="008C1484">
        <w:rPr>
          <w:rFonts w:eastAsiaTheme="minorEastAsia"/>
          <w:color w:val="000000" w:themeColor="text1"/>
          <w:kern w:val="24"/>
          <w:sz w:val="36"/>
          <w:szCs w:val="36"/>
        </w:rPr>
        <w:t xml:space="preserve"> </w:t>
      </w:r>
      <w:r w:rsidRPr="008C1484">
        <w:t>A slow growth market fundamentally challenges new innovations because, in essence new products must cannibalize the market share –since this one is not growing- and market position of current products to successfully enter the marketplace. Thus, the market acceptance hurdle for innovations in this industry is higher than for other industries that have a more rapidly growing market space where new products or innovations can enter without having to push aside or capture market share from current, well established products or innovations.</w:t>
      </w:r>
    </w:p>
    <w:p w:rsidR="00C57743" w:rsidRDefault="00C57743" w:rsidP="00B9345E">
      <w:pPr>
        <w:jc w:val="both"/>
      </w:pPr>
    </w:p>
    <w:p w:rsidR="00C57743" w:rsidRDefault="00C57743" w:rsidP="00B9345E">
      <w:pPr>
        <w:jc w:val="both"/>
      </w:pPr>
      <w:r>
        <w:t>5)</w:t>
      </w:r>
      <w:r w:rsidRPr="008C1484">
        <w:t xml:space="preserve"> Th</w:t>
      </w:r>
      <w:r>
        <w:t xml:space="preserve">e </w:t>
      </w:r>
      <w:r w:rsidRPr="008C1484">
        <w:t>fluctuation in output or supply combined with the inelastic or non-responsive demand for food products results in dramatic price fluctuations, particularly at the raw materials level in the supply chain. High volatility and consequently the limited ability to predict the future results in higher risk of the future payoff of today’s investment in innovation projects. Hence, the industry itself is not only dynamic, but it also demands a high degree of dynamic capabilities of firms to adjust the volatility.</w:t>
      </w:r>
    </w:p>
    <w:p w:rsidR="00C57743" w:rsidRDefault="00C57743" w:rsidP="00B9345E">
      <w:pPr>
        <w:jc w:val="both"/>
      </w:pPr>
    </w:p>
    <w:p w:rsidR="00C57743" w:rsidRDefault="00C57743" w:rsidP="00B9345E">
      <w:pPr>
        <w:jc w:val="both"/>
      </w:pPr>
      <w:r>
        <w:lastRenderedPageBreak/>
        <w:t>6)</w:t>
      </w:r>
      <w:r w:rsidRPr="00265AC4">
        <w:t xml:space="preserve"> </w:t>
      </w:r>
      <w:r>
        <w:t>Technological convergence plays an important role for the food and agricultural sector, as it may lead to a blurring of industry boundaries. This phenomenon is also referred to as industry convergence and can be observed by the application of different technologies across different industries which may result in new “inter-industry segments”.</w:t>
      </w:r>
    </w:p>
    <w:p w:rsidR="00C57743" w:rsidRDefault="00C57743" w:rsidP="00B9345E">
      <w:pPr>
        <w:jc w:val="both"/>
      </w:pPr>
    </w:p>
    <w:p w:rsidR="00C57743" w:rsidRDefault="00C57743" w:rsidP="00B9345E">
      <w:pPr>
        <w:jc w:val="both"/>
      </w:pPr>
      <w:r>
        <w:t>7)</w:t>
      </w:r>
      <w:r w:rsidRPr="001821B3">
        <w:rPr>
          <w:rFonts w:eastAsiaTheme="minorEastAsia"/>
          <w:color w:val="000000" w:themeColor="text1"/>
          <w:kern w:val="24"/>
          <w:sz w:val="36"/>
          <w:szCs w:val="36"/>
        </w:rPr>
        <w:t xml:space="preserve"> </w:t>
      </w:r>
      <w:r w:rsidRPr="001821B3">
        <w:t>Business model innovation has increased in recent times with the adoption of various forms of contract production systems particularly in livestock production, joint ventures and strategic alliances between various seed and chemical companies, and licensing agreements specifically in the biotechnology-based industries.</w:t>
      </w:r>
    </w:p>
    <w:p w:rsidR="00C57743" w:rsidRDefault="00C57743" w:rsidP="00B9345E">
      <w:pPr>
        <w:jc w:val="both"/>
      </w:pPr>
    </w:p>
    <w:p w:rsidR="00C57743" w:rsidRDefault="00C57743" w:rsidP="00B9345E">
      <w:pPr>
        <w:jc w:val="both"/>
      </w:pPr>
      <w:r>
        <w:t>8)</w:t>
      </w:r>
      <w:r w:rsidRPr="00265AC4">
        <w:t xml:space="preserve"> </w:t>
      </w:r>
      <w:r>
        <w:t>Innovation is complex and characterized by nonlinear processes, open rather than closed systems, incomplete rather than perfect costless information, and errors/biases in decisions. And innovation should be viewed as adaptive in that it results in constant adjustment/change, learning from successes and failures, and thus evolutionary processes.</w:t>
      </w:r>
    </w:p>
    <w:p w:rsidR="00C57743" w:rsidRDefault="00C57743" w:rsidP="00B9345E">
      <w:pPr>
        <w:jc w:val="both"/>
      </w:pPr>
    </w:p>
    <w:p w:rsidR="00C57743" w:rsidRDefault="00C57743" w:rsidP="00B9345E">
      <w:pPr>
        <w:jc w:val="both"/>
      </w:pPr>
      <w:r>
        <w:t>9)</w:t>
      </w:r>
      <w:r w:rsidRPr="00265AC4">
        <w:t xml:space="preserve"> </w:t>
      </w:r>
      <w:r>
        <w:t>One fundamental approach of distinguishing a driver for innovation can be seen in the degree to which an innovation originates from new technologies, “technology push”, or whether it has been derived from a market need, “market pull”.</w:t>
      </w:r>
    </w:p>
    <w:p w:rsidR="00C57743" w:rsidRDefault="00C57743" w:rsidP="00B9345E">
      <w:pPr>
        <w:jc w:val="both"/>
      </w:pPr>
    </w:p>
    <w:p w:rsidR="00C57743" w:rsidRDefault="00C57743" w:rsidP="00B9345E">
      <w:pPr>
        <w:jc w:val="both"/>
      </w:pPr>
      <w:r>
        <w:t>10)</w:t>
      </w:r>
      <w:r w:rsidRPr="00B60F1E">
        <w:t xml:space="preserve"> </w:t>
      </w:r>
      <w:r w:rsidRPr="0030295D">
        <w:t xml:space="preserve">In terms of competing in an international business arena firms must face, and embrace, consumers where there is no such thing as a ‘typical’ consumer. Food businesses are embarking on new levels of value-added downstream products. These products cover a range of products, from the major firms to small artisanal producers, and these firms face unrelenting changes in consumer demands and market structures. </w:t>
      </w:r>
    </w:p>
    <w:p w:rsidR="00323140" w:rsidRDefault="00323140" w:rsidP="00B9345E">
      <w:pPr>
        <w:jc w:val="both"/>
      </w:pPr>
    </w:p>
    <w:p w:rsidR="00323140" w:rsidRPr="004B4368" w:rsidRDefault="00323140" w:rsidP="00B9345E">
      <w:pPr>
        <w:jc w:val="both"/>
      </w:pPr>
      <w:r>
        <w:t>11)</w:t>
      </w:r>
      <w:r w:rsidRPr="00FE7C96">
        <w:t xml:space="preserve"> </w:t>
      </w:r>
      <w:r w:rsidRPr="004B4368">
        <w:t xml:space="preserve">A key focus for </w:t>
      </w:r>
      <w:r>
        <w:t>agro</w:t>
      </w:r>
      <w:r w:rsidRPr="004B4368">
        <w:rPr>
          <w:iCs/>
        </w:rPr>
        <w:t xml:space="preserve">-food </w:t>
      </w:r>
      <w:r w:rsidRPr="004B4368">
        <w:t xml:space="preserve">will be the sustainable development of this sector, first by adopting an extended food chain perspective on the sustainable supply and usage of our natural resources to meet the increasing environmental demands of regulators, customers, and consumers and second by promoting the continued emergence, growth, and maturation of an internationally competitive SME sector. </w:t>
      </w:r>
    </w:p>
    <w:p w:rsidR="00323140" w:rsidRDefault="00323140" w:rsidP="00B9345E">
      <w:pPr>
        <w:jc w:val="both"/>
      </w:pPr>
    </w:p>
    <w:p w:rsidR="00323140" w:rsidRPr="004B4368" w:rsidRDefault="00323140" w:rsidP="00B9345E">
      <w:pPr>
        <w:jc w:val="both"/>
      </w:pPr>
      <w:r>
        <w:t>12)</w:t>
      </w:r>
      <w:r w:rsidRPr="00FE7C96">
        <w:t xml:space="preserve"> </w:t>
      </w:r>
      <w:r w:rsidRPr="004B4368">
        <w:t>Key themes in this area will focus on improved practices (e.g. resource utilization, and supply chain practices), the adoption and commercialization of innovation (existing product development and new product development) and usage of novel technologies, and improved market orientation and customer-focused activities.</w:t>
      </w:r>
    </w:p>
    <w:p w:rsidR="00323140" w:rsidRDefault="00323140" w:rsidP="00B9345E">
      <w:pPr>
        <w:jc w:val="both"/>
      </w:pPr>
    </w:p>
    <w:p w:rsidR="00DD62C3" w:rsidRDefault="00DD62C3" w:rsidP="00B9345E">
      <w:pPr>
        <w:jc w:val="both"/>
      </w:pPr>
      <w:r>
        <w:lastRenderedPageBreak/>
        <w:t xml:space="preserve">13) </w:t>
      </w:r>
      <w:r w:rsidRPr="0030295D">
        <w:t>Innovation changes can be viewed in the context of changing consumption patterns, increased business competition and a food industry that is globalized. There is an opportunity for brands which genuinely embody ‘health’ and ‘wellness’ to build a long-term competitive advantage which should translate into sustainable sales growth and margin expansion</w:t>
      </w:r>
      <w:r>
        <w:t>.</w:t>
      </w:r>
    </w:p>
    <w:p w:rsidR="00DD62C3" w:rsidRDefault="00DD62C3" w:rsidP="00B9345E">
      <w:pPr>
        <w:jc w:val="both"/>
      </w:pPr>
    </w:p>
    <w:p w:rsidR="00DD62C3" w:rsidRPr="0030295D" w:rsidRDefault="00DD62C3" w:rsidP="00B9345E">
      <w:pPr>
        <w:jc w:val="both"/>
      </w:pPr>
      <w:r>
        <w:t>14)</w:t>
      </w:r>
      <w:r w:rsidRPr="004B4368">
        <w:t xml:space="preserve">Traditionally food Supply Chain Management (SCM) in has focused on the flow of product related information. While traceability of products will remain an important function the </w:t>
      </w:r>
      <w:r>
        <w:t>agro</w:t>
      </w:r>
      <w:r w:rsidRPr="004B4368">
        <w:t>-food industry should also embrace the role of SCM in supporting both cost</w:t>
      </w:r>
      <w:r w:rsidRPr="0030295D">
        <w:t xml:space="preserve"> </w:t>
      </w:r>
      <w:r w:rsidRPr="004B4368">
        <w:t>reduction and value-add</w:t>
      </w:r>
      <w:r w:rsidRPr="0030295D">
        <w:t xml:space="preserve"> strategies.  With some notable exceptions </w:t>
      </w:r>
      <w:r>
        <w:t>agro</w:t>
      </w:r>
      <w:r w:rsidRPr="0030295D">
        <w:t>-food companies have not kep</w:t>
      </w:r>
      <w:r>
        <w:t xml:space="preserve">t pace with SCM best practice. </w:t>
      </w:r>
      <w:r w:rsidRPr="0030295D">
        <w:t>In particular, greater emphasis and competency building is required in the following areas:</w:t>
      </w:r>
    </w:p>
    <w:p w:rsidR="00DD62C3" w:rsidRPr="0030295D" w:rsidRDefault="00DD62C3" w:rsidP="00B9345E">
      <w:pPr>
        <w:jc w:val="both"/>
      </w:pPr>
    </w:p>
    <w:p w:rsidR="00DD62C3" w:rsidRPr="0030295D" w:rsidRDefault="00DD62C3" w:rsidP="00B9345E">
      <w:pPr>
        <w:pStyle w:val="a5"/>
        <w:numPr>
          <w:ilvl w:val="0"/>
          <w:numId w:val="16"/>
        </w:numPr>
        <w:jc w:val="both"/>
      </w:pPr>
      <w:r w:rsidRPr="0030295D">
        <w:t>‘Product design/development chain’ and ‘supply/delivery chain’ alignment.</w:t>
      </w:r>
    </w:p>
    <w:p w:rsidR="00DD62C3" w:rsidRPr="0030295D" w:rsidRDefault="00DD62C3" w:rsidP="00B9345E">
      <w:pPr>
        <w:pStyle w:val="a5"/>
        <w:numPr>
          <w:ilvl w:val="0"/>
          <w:numId w:val="16"/>
        </w:numPr>
        <w:jc w:val="both"/>
      </w:pPr>
      <w:r w:rsidRPr="0030295D">
        <w:t>Supply Chain efficiency (lean) and responsiveness (agile).</w:t>
      </w:r>
    </w:p>
    <w:p w:rsidR="00DD62C3" w:rsidRDefault="00DD62C3" w:rsidP="00B9345E">
      <w:pPr>
        <w:pStyle w:val="a5"/>
        <w:numPr>
          <w:ilvl w:val="0"/>
          <w:numId w:val="16"/>
        </w:numPr>
        <w:jc w:val="both"/>
      </w:pPr>
      <w:r w:rsidRPr="0030295D">
        <w:t>Strategic orientation</w:t>
      </w:r>
    </w:p>
    <w:p w:rsidR="00DD62C3" w:rsidRDefault="00DD62C3" w:rsidP="00B9345E">
      <w:pPr>
        <w:jc w:val="both"/>
      </w:pPr>
    </w:p>
    <w:p w:rsidR="00DD62C3" w:rsidRPr="004B4368" w:rsidRDefault="00DD62C3" w:rsidP="00B9345E">
      <w:pPr>
        <w:widowControl w:val="0"/>
        <w:autoSpaceDE w:val="0"/>
        <w:autoSpaceDN w:val="0"/>
        <w:adjustRightInd w:val="0"/>
        <w:jc w:val="both"/>
      </w:pPr>
      <w:r>
        <w:t xml:space="preserve">15) </w:t>
      </w:r>
      <w:r w:rsidRPr="004B4368">
        <w:t>The adoption of best practice along the food supply chain requires competency development in the following areas:</w:t>
      </w:r>
    </w:p>
    <w:p w:rsidR="00DD62C3" w:rsidRPr="004B4368" w:rsidRDefault="00DD62C3" w:rsidP="00B9345E">
      <w:pPr>
        <w:widowControl w:val="0"/>
        <w:autoSpaceDE w:val="0"/>
        <w:autoSpaceDN w:val="0"/>
        <w:adjustRightInd w:val="0"/>
        <w:jc w:val="both"/>
      </w:pPr>
    </w:p>
    <w:p w:rsidR="00DD62C3" w:rsidRPr="004B4368" w:rsidRDefault="00DD62C3" w:rsidP="00B9345E">
      <w:pPr>
        <w:widowControl w:val="0"/>
        <w:numPr>
          <w:ilvl w:val="0"/>
          <w:numId w:val="6"/>
        </w:numPr>
        <w:autoSpaceDE w:val="0"/>
        <w:autoSpaceDN w:val="0"/>
        <w:adjustRightInd w:val="0"/>
        <w:spacing w:after="0" w:line="240" w:lineRule="auto"/>
        <w:jc w:val="both"/>
      </w:pPr>
      <w:r w:rsidRPr="004B4368">
        <w:t xml:space="preserve">Application of best practice approaches and techniques to align strategic and operational activities. </w:t>
      </w:r>
    </w:p>
    <w:p w:rsidR="00DD62C3" w:rsidRPr="004B4368" w:rsidRDefault="00DD62C3" w:rsidP="00B9345E">
      <w:pPr>
        <w:widowControl w:val="0"/>
        <w:numPr>
          <w:ilvl w:val="0"/>
          <w:numId w:val="6"/>
        </w:numPr>
        <w:autoSpaceDE w:val="0"/>
        <w:autoSpaceDN w:val="0"/>
        <w:adjustRightInd w:val="0"/>
        <w:spacing w:after="0" w:line="240" w:lineRule="auto"/>
        <w:jc w:val="both"/>
      </w:pPr>
      <w:r w:rsidRPr="004B4368">
        <w:t xml:space="preserve">Management of supply chain flows (materials, finance &amp; information) and cross-functional KPIs and associated metrics (e.g. customer facing, efficiency, asset utilization). </w:t>
      </w:r>
    </w:p>
    <w:p w:rsidR="00DD62C3" w:rsidRPr="004B4368" w:rsidRDefault="00DD62C3" w:rsidP="00B9345E">
      <w:pPr>
        <w:widowControl w:val="0"/>
        <w:numPr>
          <w:ilvl w:val="0"/>
          <w:numId w:val="6"/>
        </w:numPr>
        <w:autoSpaceDE w:val="0"/>
        <w:autoSpaceDN w:val="0"/>
        <w:adjustRightInd w:val="0"/>
        <w:spacing w:after="0" w:line="240" w:lineRule="auto"/>
        <w:jc w:val="both"/>
      </w:pPr>
      <w:r w:rsidRPr="004B4368">
        <w:t>Management of supplier and customer relationships.</w:t>
      </w:r>
    </w:p>
    <w:p w:rsidR="00DD62C3" w:rsidRDefault="00DD62C3" w:rsidP="00B9345E">
      <w:pPr>
        <w:jc w:val="both"/>
      </w:pPr>
    </w:p>
    <w:p w:rsidR="00DD62C3" w:rsidRPr="0030295D" w:rsidRDefault="00DD62C3" w:rsidP="00B9345E">
      <w:pPr>
        <w:jc w:val="both"/>
      </w:pPr>
    </w:p>
    <w:p w:rsidR="00E34927" w:rsidRPr="00323140" w:rsidRDefault="00E34927" w:rsidP="00B9345E">
      <w:pPr>
        <w:jc w:val="both"/>
      </w:pPr>
    </w:p>
    <w:sectPr w:rsidR="00E34927" w:rsidRPr="00323140" w:rsidSect="00E34927">
      <w:headerReference w:type="default" r:id="rId9"/>
      <w:footerReference w:type="default" r:id="rId10"/>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154E" w:rsidRDefault="00B6154E" w:rsidP="001D6E65">
      <w:pPr>
        <w:spacing w:after="0" w:line="240" w:lineRule="auto"/>
      </w:pPr>
      <w:r>
        <w:separator/>
      </w:r>
    </w:p>
  </w:endnote>
  <w:endnote w:type="continuationSeparator" w:id="0">
    <w:p w:rsidR="00B6154E" w:rsidRDefault="00B6154E"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1"/>
    <w:family w:val="swiss"/>
    <w:pitch w:val="variable"/>
    <w:sig w:usb0="E10002FF" w:usb1="4000ACFF" w:usb2="00000009" w:usb3="00000000" w:csb0="0000019F" w:csb1="00000000"/>
  </w:font>
  <w:font w:name="Courier New">
    <w:panose1 w:val="02070309020205020404"/>
    <w:charset w:val="A1"/>
    <w:family w:val="modern"/>
    <w:pitch w:val="fixed"/>
    <w:sig w:usb0="E0002AFF" w:usb1="C0007843" w:usb2="00000009" w:usb3="00000000" w:csb0="000001FF" w:csb1="00000000"/>
  </w:font>
  <w:font w:name="Times New Roman">
    <w:panose1 w:val="02020603050405020304"/>
    <w:charset w:val="A1"/>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1"/>
    <w:family w:val="roman"/>
    <w:pitch w:val="variable"/>
    <w:sig w:usb0="A00002EF" w:usb1="4000004B" w:usb2="00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AFF" w:usb1="C0007843"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2681" w:rsidRDefault="00182681" w:rsidP="0055002C">
    <w:pPr>
      <w:pStyle w:val="a9"/>
    </w:pPr>
    <w:r>
      <w:rPr>
        <w:rFonts w:asciiTheme="majorHAnsi" w:hAnsiTheme="majorHAnsi" w:cstheme="majorHAnsi"/>
      </w:rPr>
      <w:t xml:space="preserve">Del 4.2 Training Module </w:t>
    </w:r>
    <w:r w:rsidRPr="003C3A38">
      <w:rPr>
        <w:rFonts w:asciiTheme="majorHAnsi" w:hAnsiTheme="majorHAnsi" w:cstheme="majorHAnsi"/>
      </w:rPr>
      <w:t>7</w:t>
    </w:r>
    <w:r w:rsidRPr="007F6B32">
      <w:rPr>
        <w:rFonts w:asciiTheme="majorHAnsi" w:hAnsiTheme="majorHAnsi" w:cstheme="majorHAnsi"/>
        <w:sz w:val="24"/>
      </w:rPr>
      <w:t xml:space="preserve"> </w:t>
    </w:r>
    <w:r>
      <w:rPr>
        <w:rFonts w:asciiTheme="majorHAnsi" w:hAnsiTheme="majorHAnsi" w:cstheme="majorHAnsi"/>
        <w:sz w:val="24"/>
      </w:rPr>
      <w:t xml:space="preserve">– </w:t>
    </w:r>
    <w:r w:rsidRPr="003C3A38">
      <w:rPr>
        <w:rFonts w:asciiTheme="majorHAnsi" w:hAnsiTheme="majorHAnsi" w:cstheme="majorHAnsi"/>
        <w:sz w:val="24"/>
      </w:rPr>
      <w:t>Development of New Product in the Agr</w:t>
    </w:r>
    <w:r>
      <w:rPr>
        <w:rFonts w:asciiTheme="majorHAnsi" w:hAnsiTheme="majorHAnsi" w:cstheme="majorHAnsi"/>
        <w:sz w:val="24"/>
      </w:rPr>
      <w:t>o</w:t>
    </w:r>
    <w:r w:rsidRPr="003C3A38">
      <w:rPr>
        <w:rFonts w:asciiTheme="majorHAnsi" w:hAnsiTheme="majorHAnsi" w:cstheme="majorHAnsi"/>
        <w:sz w:val="24"/>
      </w:rPr>
      <w:t xml:space="preserve">-Food Sector </w:t>
    </w:r>
    <w:r>
      <w:rPr>
        <w:rFonts w:asciiTheme="majorHAnsi" w:hAnsiTheme="majorHAnsi" w:cstheme="majorHAnsi"/>
      </w:rPr>
      <w:ptab w:relativeTo="margin" w:alignment="right" w:leader="none"/>
    </w:r>
    <w:r>
      <w:rPr>
        <w:rFonts w:asciiTheme="majorHAnsi" w:hAnsiTheme="majorHAnsi" w:cstheme="majorHAnsi"/>
      </w:rPr>
      <w:t xml:space="preserve">Page </w:t>
    </w:r>
    <w:r w:rsidR="00B76C4E">
      <w:rPr>
        <w:rFonts w:asciiTheme="majorHAnsi" w:hAnsiTheme="majorHAnsi" w:cstheme="majorHAnsi"/>
        <w:noProof/>
      </w:rPr>
      <w:fldChar w:fldCharType="begin"/>
    </w:r>
    <w:r>
      <w:rPr>
        <w:rFonts w:asciiTheme="majorHAnsi" w:hAnsiTheme="majorHAnsi" w:cstheme="majorHAnsi"/>
        <w:noProof/>
      </w:rPr>
      <w:instrText xml:space="preserve"> PAGE   \* MERGEFORMAT </w:instrText>
    </w:r>
    <w:r w:rsidR="00B76C4E">
      <w:rPr>
        <w:rFonts w:asciiTheme="majorHAnsi" w:hAnsiTheme="majorHAnsi" w:cstheme="majorHAnsi"/>
        <w:noProof/>
      </w:rPr>
      <w:fldChar w:fldCharType="separate"/>
    </w:r>
    <w:r w:rsidR="00B9345E">
      <w:rPr>
        <w:rFonts w:asciiTheme="majorHAnsi" w:hAnsiTheme="majorHAnsi" w:cstheme="majorHAnsi"/>
        <w:noProof/>
      </w:rPr>
      <w:t>2</w:t>
    </w:r>
    <w:r w:rsidR="00B76C4E">
      <w:rPr>
        <w:rFonts w:asciiTheme="majorHAnsi" w:hAnsiTheme="majorHAnsi" w:cstheme="majorHAnsi"/>
        <w:noProof/>
      </w:rPr>
      <w:fldChar w:fldCharType="end"/>
    </w:r>
    <w:r w:rsidR="00B76C4E">
      <w:rPr>
        <w:noProof/>
        <w:lang w:val="el-GR" w:eastAsia="el-GR"/>
      </w:rPr>
      <w:pict>
        <v:group id="Group 8" o:spid="_x0000_s4099" style="position:absolute;margin-left:0;margin-top:0;width:593.5pt;height:64.8pt;flip:y;z-index:252331008;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B76C4E">
      <w:rPr>
        <w:noProof/>
        <w:lang w:val="el-GR" w:eastAsia="el-GR"/>
      </w:rPr>
      <w:pict>
        <v:rect id="Rectangle 7" o:spid="_x0000_s4098" style="position:absolute;margin-left:0;margin-top:0;width:7.15pt;height:63.05pt;z-index:252314624;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B76C4E">
      <w:rPr>
        <w:noProof/>
        <w:lang w:val="el-GR" w:eastAsia="el-GR"/>
      </w:rPr>
      <w:pict>
        <v:rect id="Rectangle 6" o:spid="_x0000_s4097" style="position:absolute;margin-left:0;margin-top:0;width:7.15pt;height:63.05pt;z-index:250997760;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154E" w:rsidRDefault="00B6154E" w:rsidP="001D6E65">
      <w:pPr>
        <w:spacing w:after="0" w:line="240" w:lineRule="auto"/>
      </w:pPr>
      <w:r>
        <w:separator/>
      </w:r>
    </w:p>
  </w:footnote>
  <w:footnote w:type="continuationSeparator" w:id="0">
    <w:p w:rsidR="00B6154E" w:rsidRDefault="00B6154E" w:rsidP="001D6E6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2681" w:rsidRDefault="00182681"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BF345F"/>
    <w:multiLevelType w:val="hybridMultilevel"/>
    <w:tmpl w:val="B18616EE"/>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1011851"/>
    <w:multiLevelType w:val="hybridMultilevel"/>
    <w:tmpl w:val="2C96D722"/>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C6F1591"/>
    <w:multiLevelType w:val="hybridMultilevel"/>
    <w:tmpl w:val="C67E6290"/>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580E03"/>
    <w:multiLevelType w:val="hybridMultilevel"/>
    <w:tmpl w:val="826E492C"/>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2A004F5"/>
    <w:multiLevelType w:val="hybridMultilevel"/>
    <w:tmpl w:val="CBF2AE26"/>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9894680"/>
    <w:multiLevelType w:val="hybridMultilevel"/>
    <w:tmpl w:val="A75C0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9CC5D46"/>
    <w:multiLevelType w:val="hybridMultilevel"/>
    <w:tmpl w:val="17B49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276455"/>
    <w:multiLevelType w:val="hybridMultilevel"/>
    <w:tmpl w:val="B42457AA"/>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B253FA"/>
    <w:multiLevelType w:val="hybridMultilevel"/>
    <w:tmpl w:val="AEE4DEC0"/>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C917899"/>
    <w:multiLevelType w:val="hybridMultilevel"/>
    <w:tmpl w:val="A35CA7AC"/>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EE37809"/>
    <w:multiLevelType w:val="hybridMultilevel"/>
    <w:tmpl w:val="89946DE4"/>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3046E24"/>
    <w:multiLevelType w:val="hybridMultilevel"/>
    <w:tmpl w:val="6E287D2A"/>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8C86299"/>
    <w:multiLevelType w:val="hybridMultilevel"/>
    <w:tmpl w:val="B6CA0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AF012F0"/>
    <w:multiLevelType w:val="hybridMultilevel"/>
    <w:tmpl w:val="745A194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nsid w:val="7D770FFB"/>
    <w:multiLevelType w:val="hybridMultilevel"/>
    <w:tmpl w:val="847AB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FA375B2"/>
    <w:multiLevelType w:val="hybridMultilevel"/>
    <w:tmpl w:val="164CB52E"/>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2"/>
  </w:num>
  <w:num w:numId="4">
    <w:abstractNumId w:val="7"/>
  </w:num>
  <w:num w:numId="5">
    <w:abstractNumId w:val="1"/>
  </w:num>
  <w:num w:numId="6">
    <w:abstractNumId w:val="13"/>
  </w:num>
  <w:num w:numId="7">
    <w:abstractNumId w:val="4"/>
  </w:num>
  <w:num w:numId="8">
    <w:abstractNumId w:val="3"/>
  </w:num>
  <w:num w:numId="9">
    <w:abstractNumId w:val="10"/>
  </w:num>
  <w:num w:numId="10">
    <w:abstractNumId w:val="15"/>
  </w:num>
  <w:num w:numId="11">
    <w:abstractNumId w:val="0"/>
  </w:num>
  <w:num w:numId="12">
    <w:abstractNumId w:val="9"/>
  </w:num>
  <w:num w:numId="13">
    <w:abstractNumId w:val="6"/>
  </w:num>
  <w:num w:numId="14">
    <w:abstractNumId w:val="5"/>
  </w:num>
  <w:num w:numId="15">
    <w:abstractNumId w:val="12"/>
  </w:num>
  <w:num w:numId="16">
    <w:abstractNumId w:val="14"/>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hdrShapeDefaults>
    <o:shapedefaults v:ext="edit" spidmax="7170"/>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51C8"/>
    <w:rsid w:val="00044FC6"/>
    <w:rsid w:val="00045567"/>
    <w:rsid w:val="000455F8"/>
    <w:rsid w:val="00051DA6"/>
    <w:rsid w:val="00062E2C"/>
    <w:rsid w:val="000654A9"/>
    <w:rsid w:val="00070C50"/>
    <w:rsid w:val="00072BE7"/>
    <w:rsid w:val="00080B2B"/>
    <w:rsid w:val="00085F9C"/>
    <w:rsid w:val="0009577B"/>
    <w:rsid w:val="000A141C"/>
    <w:rsid w:val="000A4296"/>
    <w:rsid w:val="000B7D5F"/>
    <w:rsid w:val="000C508E"/>
    <w:rsid w:val="000D0D80"/>
    <w:rsid w:val="000E29B7"/>
    <w:rsid w:val="000E39A2"/>
    <w:rsid w:val="00100252"/>
    <w:rsid w:val="0010212E"/>
    <w:rsid w:val="0011194F"/>
    <w:rsid w:val="00124EC3"/>
    <w:rsid w:val="001305AF"/>
    <w:rsid w:val="00142A5A"/>
    <w:rsid w:val="00160E82"/>
    <w:rsid w:val="0016251F"/>
    <w:rsid w:val="00164422"/>
    <w:rsid w:val="00171591"/>
    <w:rsid w:val="001761C3"/>
    <w:rsid w:val="00182681"/>
    <w:rsid w:val="001845D2"/>
    <w:rsid w:val="00184D75"/>
    <w:rsid w:val="001916C8"/>
    <w:rsid w:val="001A0141"/>
    <w:rsid w:val="001A3554"/>
    <w:rsid w:val="001B3E14"/>
    <w:rsid w:val="001C3545"/>
    <w:rsid w:val="001D1AA8"/>
    <w:rsid w:val="001D6E65"/>
    <w:rsid w:val="001E3150"/>
    <w:rsid w:val="001E34A6"/>
    <w:rsid w:val="00202756"/>
    <w:rsid w:val="002044B8"/>
    <w:rsid w:val="00210AEF"/>
    <w:rsid w:val="00210EA3"/>
    <w:rsid w:val="00230A17"/>
    <w:rsid w:val="00240D6A"/>
    <w:rsid w:val="002463C9"/>
    <w:rsid w:val="00254A74"/>
    <w:rsid w:val="002763E4"/>
    <w:rsid w:val="00292A4A"/>
    <w:rsid w:val="00294C25"/>
    <w:rsid w:val="00296035"/>
    <w:rsid w:val="00297BAD"/>
    <w:rsid w:val="002A12E6"/>
    <w:rsid w:val="002A4389"/>
    <w:rsid w:val="002E0DDE"/>
    <w:rsid w:val="002E27AD"/>
    <w:rsid w:val="002E4DBC"/>
    <w:rsid w:val="002F14FF"/>
    <w:rsid w:val="002F28ED"/>
    <w:rsid w:val="00303B08"/>
    <w:rsid w:val="00313AE5"/>
    <w:rsid w:val="003210D6"/>
    <w:rsid w:val="00323140"/>
    <w:rsid w:val="003265E3"/>
    <w:rsid w:val="003377C1"/>
    <w:rsid w:val="00347F74"/>
    <w:rsid w:val="003528A2"/>
    <w:rsid w:val="00372305"/>
    <w:rsid w:val="003828D9"/>
    <w:rsid w:val="00382F4C"/>
    <w:rsid w:val="0038464A"/>
    <w:rsid w:val="00386B54"/>
    <w:rsid w:val="00395D45"/>
    <w:rsid w:val="003B25F2"/>
    <w:rsid w:val="003B70B1"/>
    <w:rsid w:val="003B7BCF"/>
    <w:rsid w:val="003C11C7"/>
    <w:rsid w:val="003C3A38"/>
    <w:rsid w:val="003C7A10"/>
    <w:rsid w:val="003E36F7"/>
    <w:rsid w:val="003E79EC"/>
    <w:rsid w:val="003F3FEE"/>
    <w:rsid w:val="00402CF9"/>
    <w:rsid w:val="0041655F"/>
    <w:rsid w:val="0041781E"/>
    <w:rsid w:val="00420913"/>
    <w:rsid w:val="00426F7E"/>
    <w:rsid w:val="00437902"/>
    <w:rsid w:val="00467EC8"/>
    <w:rsid w:val="0047212D"/>
    <w:rsid w:val="004A0696"/>
    <w:rsid w:val="004A19C7"/>
    <w:rsid w:val="004A776B"/>
    <w:rsid w:val="004A7F06"/>
    <w:rsid w:val="004B4368"/>
    <w:rsid w:val="004C0F78"/>
    <w:rsid w:val="004C26C1"/>
    <w:rsid w:val="004C4C1F"/>
    <w:rsid w:val="004C57D9"/>
    <w:rsid w:val="004F1318"/>
    <w:rsid w:val="004F6008"/>
    <w:rsid w:val="00513E22"/>
    <w:rsid w:val="005179FC"/>
    <w:rsid w:val="00526E5A"/>
    <w:rsid w:val="00545061"/>
    <w:rsid w:val="0055002C"/>
    <w:rsid w:val="005530D4"/>
    <w:rsid w:val="0055408D"/>
    <w:rsid w:val="00564B93"/>
    <w:rsid w:val="00571CA4"/>
    <w:rsid w:val="005841BB"/>
    <w:rsid w:val="005933F5"/>
    <w:rsid w:val="00593637"/>
    <w:rsid w:val="00594232"/>
    <w:rsid w:val="005A024B"/>
    <w:rsid w:val="005A762C"/>
    <w:rsid w:val="005B0BDE"/>
    <w:rsid w:val="005E3650"/>
    <w:rsid w:val="005E6787"/>
    <w:rsid w:val="005F6FD7"/>
    <w:rsid w:val="00606149"/>
    <w:rsid w:val="00607596"/>
    <w:rsid w:val="006201D4"/>
    <w:rsid w:val="00627311"/>
    <w:rsid w:val="00631B99"/>
    <w:rsid w:val="00632C3B"/>
    <w:rsid w:val="0064597E"/>
    <w:rsid w:val="006521FC"/>
    <w:rsid w:val="006706AC"/>
    <w:rsid w:val="006724DC"/>
    <w:rsid w:val="006727A2"/>
    <w:rsid w:val="00676022"/>
    <w:rsid w:val="006925A3"/>
    <w:rsid w:val="006A66CC"/>
    <w:rsid w:val="006B2E7A"/>
    <w:rsid w:val="006B4B59"/>
    <w:rsid w:val="006B5B5E"/>
    <w:rsid w:val="006B7D43"/>
    <w:rsid w:val="006C1D05"/>
    <w:rsid w:val="006C2CEC"/>
    <w:rsid w:val="006D316D"/>
    <w:rsid w:val="006E4AC9"/>
    <w:rsid w:val="006E5FF6"/>
    <w:rsid w:val="006F2554"/>
    <w:rsid w:val="006F37AA"/>
    <w:rsid w:val="006F455B"/>
    <w:rsid w:val="00711E94"/>
    <w:rsid w:val="00713A08"/>
    <w:rsid w:val="00715ABF"/>
    <w:rsid w:val="00723B64"/>
    <w:rsid w:val="00751C9B"/>
    <w:rsid w:val="007537A2"/>
    <w:rsid w:val="00763ED3"/>
    <w:rsid w:val="007645CD"/>
    <w:rsid w:val="0076750B"/>
    <w:rsid w:val="00775B71"/>
    <w:rsid w:val="007771B8"/>
    <w:rsid w:val="00780ACD"/>
    <w:rsid w:val="007940ED"/>
    <w:rsid w:val="00795D3B"/>
    <w:rsid w:val="007D55EE"/>
    <w:rsid w:val="007E0532"/>
    <w:rsid w:val="007E2743"/>
    <w:rsid w:val="007E4100"/>
    <w:rsid w:val="007E45C2"/>
    <w:rsid w:val="007E71B8"/>
    <w:rsid w:val="007F0EDF"/>
    <w:rsid w:val="007F34F5"/>
    <w:rsid w:val="007F6B32"/>
    <w:rsid w:val="00804969"/>
    <w:rsid w:val="008076C3"/>
    <w:rsid w:val="00821B21"/>
    <w:rsid w:val="008514AF"/>
    <w:rsid w:val="0086434F"/>
    <w:rsid w:val="00866D81"/>
    <w:rsid w:val="00872E3B"/>
    <w:rsid w:val="00877B50"/>
    <w:rsid w:val="00884363"/>
    <w:rsid w:val="00890246"/>
    <w:rsid w:val="00895104"/>
    <w:rsid w:val="008B4ADB"/>
    <w:rsid w:val="008B5AE8"/>
    <w:rsid w:val="008C5B51"/>
    <w:rsid w:val="008D204E"/>
    <w:rsid w:val="008E1B0F"/>
    <w:rsid w:val="008E4BB6"/>
    <w:rsid w:val="008F7A55"/>
    <w:rsid w:val="008F7B62"/>
    <w:rsid w:val="00924666"/>
    <w:rsid w:val="009257BB"/>
    <w:rsid w:val="00932901"/>
    <w:rsid w:val="0093425C"/>
    <w:rsid w:val="00937920"/>
    <w:rsid w:val="00954BC2"/>
    <w:rsid w:val="00960B72"/>
    <w:rsid w:val="009764AC"/>
    <w:rsid w:val="00983D78"/>
    <w:rsid w:val="00985EBC"/>
    <w:rsid w:val="00993B26"/>
    <w:rsid w:val="00A06768"/>
    <w:rsid w:val="00A26A90"/>
    <w:rsid w:val="00A52D68"/>
    <w:rsid w:val="00A61A86"/>
    <w:rsid w:val="00A6354C"/>
    <w:rsid w:val="00A671E1"/>
    <w:rsid w:val="00A728CC"/>
    <w:rsid w:val="00A83AB4"/>
    <w:rsid w:val="00AA0E3D"/>
    <w:rsid w:val="00AB0B73"/>
    <w:rsid w:val="00AC3AEF"/>
    <w:rsid w:val="00AC5C02"/>
    <w:rsid w:val="00AE18CC"/>
    <w:rsid w:val="00AE6392"/>
    <w:rsid w:val="00AE7F1C"/>
    <w:rsid w:val="00AF07EC"/>
    <w:rsid w:val="00AF2993"/>
    <w:rsid w:val="00AF2F92"/>
    <w:rsid w:val="00AF7CD6"/>
    <w:rsid w:val="00B04E4E"/>
    <w:rsid w:val="00B107AC"/>
    <w:rsid w:val="00B11735"/>
    <w:rsid w:val="00B12FD1"/>
    <w:rsid w:val="00B15F65"/>
    <w:rsid w:val="00B404CB"/>
    <w:rsid w:val="00B54DB4"/>
    <w:rsid w:val="00B6154E"/>
    <w:rsid w:val="00B720F1"/>
    <w:rsid w:val="00B72E6D"/>
    <w:rsid w:val="00B76C4E"/>
    <w:rsid w:val="00B919FB"/>
    <w:rsid w:val="00B9345E"/>
    <w:rsid w:val="00BB4B5C"/>
    <w:rsid w:val="00BD045E"/>
    <w:rsid w:val="00BD1CEA"/>
    <w:rsid w:val="00BD72EC"/>
    <w:rsid w:val="00BE14B3"/>
    <w:rsid w:val="00C01B05"/>
    <w:rsid w:val="00C02C6A"/>
    <w:rsid w:val="00C047D8"/>
    <w:rsid w:val="00C04ECA"/>
    <w:rsid w:val="00C12EEF"/>
    <w:rsid w:val="00C231A7"/>
    <w:rsid w:val="00C40DE4"/>
    <w:rsid w:val="00C57146"/>
    <w:rsid w:val="00C57743"/>
    <w:rsid w:val="00C63112"/>
    <w:rsid w:val="00C6719E"/>
    <w:rsid w:val="00C72222"/>
    <w:rsid w:val="00C75C42"/>
    <w:rsid w:val="00C81FC5"/>
    <w:rsid w:val="00C90E71"/>
    <w:rsid w:val="00CC010A"/>
    <w:rsid w:val="00CD3C54"/>
    <w:rsid w:val="00CE31CB"/>
    <w:rsid w:val="00CE36B8"/>
    <w:rsid w:val="00CF075A"/>
    <w:rsid w:val="00CF73D5"/>
    <w:rsid w:val="00D16D8C"/>
    <w:rsid w:val="00D35DBA"/>
    <w:rsid w:val="00D453EF"/>
    <w:rsid w:val="00D558CF"/>
    <w:rsid w:val="00D644DE"/>
    <w:rsid w:val="00DA1212"/>
    <w:rsid w:val="00DA22E1"/>
    <w:rsid w:val="00DA2BC9"/>
    <w:rsid w:val="00DB3AE9"/>
    <w:rsid w:val="00DD62C3"/>
    <w:rsid w:val="00E05604"/>
    <w:rsid w:val="00E0791A"/>
    <w:rsid w:val="00E16ACD"/>
    <w:rsid w:val="00E32D89"/>
    <w:rsid w:val="00E34927"/>
    <w:rsid w:val="00E43B8B"/>
    <w:rsid w:val="00E43F1C"/>
    <w:rsid w:val="00E66BD2"/>
    <w:rsid w:val="00E67D94"/>
    <w:rsid w:val="00E72BFA"/>
    <w:rsid w:val="00E91F5E"/>
    <w:rsid w:val="00EA01EC"/>
    <w:rsid w:val="00EB36D0"/>
    <w:rsid w:val="00EB63C3"/>
    <w:rsid w:val="00EB6E92"/>
    <w:rsid w:val="00EE7890"/>
    <w:rsid w:val="00EF1209"/>
    <w:rsid w:val="00EF19D9"/>
    <w:rsid w:val="00F04DA4"/>
    <w:rsid w:val="00F06A76"/>
    <w:rsid w:val="00F2277B"/>
    <w:rsid w:val="00F34751"/>
    <w:rsid w:val="00F54200"/>
    <w:rsid w:val="00F6121A"/>
    <w:rsid w:val="00F65075"/>
    <w:rsid w:val="00F6589B"/>
    <w:rsid w:val="00F7378A"/>
    <w:rsid w:val="00F750E7"/>
    <w:rsid w:val="00FA1894"/>
    <w:rsid w:val="00FA481F"/>
    <w:rsid w:val="00FC60DC"/>
    <w:rsid w:val="00FD069A"/>
    <w:rsid w:val="00FD2225"/>
    <w:rsid w:val="00FD463A"/>
    <w:rsid w:val="00FD4680"/>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nhideWhenUsed/>
    <w:rsid w:val="001D6E65"/>
    <w:rPr>
      <w:sz w:val="20"/>
      <w:szCs w:val="20"/>
    </w:rPr>
  </w:style>
  <w:style w:type="character" w:customStyle="1" w:styleId="Char">
    <w:name w:val="Κείμενο υποσημείωσης Char"/>
    <w:basedOn w:val="a0"/>
    <w:link w:val="a3"/>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ac">
    <w:name w:val="caption"/>
    <w:basedOn w:val="a"/>
    <w:next w:val="a"/>
    <w:uiPriority w:val="35"/>
    <w:unhideWhenUsed/>
    <w:qFormat/>
    <w:rsid w:val="00A06768"/>
    <w:pPr>
      <w:spacing w:line="240" w:lineRule="auto"/>
    </w:pPr>
    <w:rPr>
      <w:i/>
      <w:iCs/>
      <w:color w:val="1F497D" w:themeColor="text2"/>
      <w:sz w:val="18"/>
      <w:szCs w:val="18"/>
    </w:rPr>
  </w:style>
  <w:style w:type="character" w:styleId="ad">
    <w:name w:val="Emphasis"/>
    <w:basedOn w:val="a0"/>
    <w:uiPriority w:val="99"/>
    <w:qFormat/>
    <w:rsid w:val="004B4368"/>
    <w:rPr>
      <w:rFonts w:cs="Times New Roman"/>
      <w:b/>
      <w:bCs/>
    </w:rPr>
  </w:style>
  <w:style w:type="paragraph" w:styleId="Web">
    <w:name w:val="Normal (Web)"/>
    <w:basedOn w:val="a"/>
    <w:uiPriority w:val="99"/>
    <w:semiHidden/>
    <w:unhideWhenUsed/>
    <w:rsid w:val="007940ED"/>
    <w:pPr>
      <w:spacing w:before="100" w:beforeAutospacing="1" w:after="100" w:afterAutospacing="1" w:line="240" w:lineRule="auto"/>
    </w:pPr>
    <w:rPr>
      <w:rFonts w:ascii="Times New Roman" w:eastAsia="Times New Roman" w:hAnsi="Times New Roman"/>
      <w:sz w:val="24"/>
      <w:szCs w:val="24"/>
    </w:rPr>
  </w:style>
  <w:style w:type="paragraph" w:styleId="30">
    <w:name w:val="toc 3"/>
    <w:basedOn w:val="a"/>
    <w:next w:val="a"/>
    <w:autoRedefine/>
    <w:uiPriority w:val="39"/>
    <w:unhideWhenUsed/>
    <w:rsid w:val="00F6589B"/>
    <w:pPr>
      <w:tabs>
        <w:tab w:val="right" w:leader="dot" w:pos="8222"/>
      </w:tabs>
      <w:spacing w:after="100"/>
      <w:ind w:left="440"/>
    </w:pPr>
  </w:style>
</w:styles>
</file>

<file path=word/webSettings.xml><?xml version="1.0" encoding="utf-8"?>
<w:webSettings xmlns:r="http://schemas.openxmlformats.org/officeDocument/2006/relationships" xmlns:w="http://schemas.openxmlformats.org/wordprocessingml/2006/main">
  <w:divs>
    <w:div w:id="218253557">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F4BF3D-76C1-4409-8209-0BB4D28D3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936</Words>
  <Characters>5058</Characters>
  <Application>Microsoft Office Word</Application>
  <DocSecurity>0</DocSecurity>
  <Lines>42</Lines>
  <Paragraphs>11</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5983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Γιωργος</cp:lastModifiedBy>
  <cp:revision>4</cp:revision>
  <dcterms:created xsi:type="dcterms:W3CDTF">2019-02-09T21:57:00Z</dcterms:created>
  <dcterms:modified xsi:type="dcterms:W3CDTF">2019-02-09T22:37:00Z</dcterms:modified>
</cp:coreProperties>
</file>